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601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60197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Green Paula</w:t>
              </w:r>
            </w:hyperlink>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Twist Bioscience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TWST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740" w:type="dxa"/>
            <w:vAlign w:val="bottom"/>
            <w:tcBorders>
              <w:top w:val="single" w:sz="8" w:color="0000EE"/>
            </w:tcBorders>
          </w:tcPr>
          <w:p>
            <w:pPr>
              <w:spacing w:after="0"/>
              <w:rPr>
                <w:sz w:val="4"/>
                <w:szCs w:val="4"/>
                <w:color w:val="auto"/>
              </w:rPr>
            </w:pPr>
          </w:p>
        </w:tc>
        <w:tc>
          <w:tcPr>
            <w:tcW w:w="1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vMerge w:val="restart"/>
          </w:tcPr>
          <w:p>
            <w:pPr>
              <w:ind w:left="10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74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0000FF"/>
        </w:rPr>
        <w:t>SVP of Human Resources</w:t>
      </w:r>
    </w:p>
    <w:p>
      <w:pPr>
        <w:spacing w:after="0" w:line="531"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shd w:val="clear" w:color="auto" w:fill="9A9A9A"/>
          </w:tcPr>
          <w:p>
            <w:pPr>
              <w:spacing w:after="0"/>
              <w:rPr>
                <w:sz w:val="4"/>
                <w:szCs w:val="4"/>
                <w:color w:val="auto"/>
              </w:rPr>
            </w:pPr>
          </w:p>
        </w:tc>
        <w:tc>
          <w:tcPr>
            <w:tcW w:w="640" w:type="dxa"/>
            <w:vAlign w:val="bottom"/>
            <w:shd w:val="clear" w:color="auto" w:fill="9A9A9A"/>
          </w:tcPr>
          <w:p>
            <w:pPr>
              <w:spacing w:after="0"/>
              <w:rPr>
                <w:sz w:val="4"/>
                <w:szCs w:val="4"/>
                <w:color w:val="auto"/>
              </w:rPr>
            </w:pPr>
          </w:p>
        </w:tc>
        <w:tc>
          <w:tcPr>
            <w:tcW w:w="140" w:type="dxa"/>
            <w:vAlign w:val="bottom"/>
            <w:shd w:val="clear" w:color="auto" w:fill="9A9A9A"/>
          </w:tcPr>
          <w:p>
            <w:pPr>
              <w:spacing w:after="0"/>
              <w:rPr>
                <w:sz w:val="4"/>
                <w:szCs w:val="4"/>
                <w:color w:val="auto"/>
              </w:rPr>
            </w:pPr>
          </w:p>
        </w:tc>
        <w:tc>
          <w:tcPr>
            <w:tcW w:w="1040" w:type="dxa"/>
            <w:vAlign w:val="bottom"/>
            <w:shd w:val="clear" w:color="auto" w:fill="9A9A9A"/>
          </w:tcPr>
          <w:p>
            <w:pPr>
              <w:spacing w:after="0"/>
              <w:rPr>
                <w:sz w:val="4"/>
                <w:szCs w:val="4"/>
                <w:color w:val="auto"/>
              </w:rPr>
            </w:pPr>
          </w:p>
        </w:tc>
        <w:tc>
          <w:tcPr>
            <w:tcW w:w="1140" w:type="dxa"/>
            <w:vAlign w:val="bottom"/>
            <w:shd w:val="clear" w:color="auto" w:fill="9A9A9A"/>
          </w:tcPr>
          <w:p>
            <w:pPr>
              <w:spacing w:after="0"/>
              <w:rPr>
                <w:sz w:val="4"/>
                <w:szCs w:val="4"/>
                <w:color w:val="auto"/>
              </w:rPr>
            </w:pPr>
          </w:p>
        </w:tc>
        <w:tc>
          <w:tcPr>
            <w:tcW w:w="100" w:type="dxa"/>
            <w:vAlign w:val="bottom"/>
            <w:shd w:val="clear" w:color="auto" w:fill="9A9A9A"/>
          </w:tcPr>
          <w:p>
            <w:pPr>
              <w:spacing w:after="0"/>
              <w:rPr>
                <w:sz w:val="4"/>
                <w:szCs w:val="4"/>
                <w:color w:val="auto"/>
              </w:rPr>
            </w:pPr>
          </w:p>
        </w:tc>
        <w:tc>
          <w:tcPr>
            <w:tcW w:w="3680" w:type="dxa"/>
            <w:vAlign w:val="bottom"/>
            <w:gridSpan w:val="6"/>
            <w:vMerge w:val="restart"/>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80" w:type="dxa"/>
            <w:vAlign w:val="bottom"/>
            <w:gridSpan w:val="6"/>
            <w:vMerge w:val="continue"/>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3"/>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4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6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0000FF"/>
                <w:w w:val="98"/>
              </w:rPr>
              <w:t>26,137</w:t>
            </w:r>
          </w:p>
        </w:tc>
        <w:tc>
          <w:tcPr>
            <w:tcW w:w="6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gridSpan w:val="2"/>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23.33</w:t>
            </w:r>
          </w:p>
        </w:tc>
        <w:tc>
          <w:tcPr>
            <w:tcW w:w="10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146,842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8"/>
              </w:rPr>
              <w:t>24,109</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81.6233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122,733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06/15/2026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53"/>
              <w:spacing w:after="0"/>
              <w:rPr>
                <w:sz w:val="20"/>
                <w:szCs w:val="20"/>
                <w:color w:val="auto"/>
              </w:rPr>
            </w:pPr>
            <w:r>
              <w:rPr>
                <w:rFonts w:ascii="Times New Roman" w:cs="Times New Roman" w:eastAsia="Times New Roman" w:hAnsi="Times New Roman"/>
                <w:sz w:val="17"/>
                <w:szCs w:val="17"/>
                <w:color w:val="0000FF"/>
                <w:w w:val="99"/>
              </w:rPr>
              <w:t>2,028</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82.1655</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120,705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26,137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23.33</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26,137</w:t>
            </w:r>
          </w:p>
        </w:tc>
        <w:tc>
          <w:tcPr>
            <w:tcW w:w="760" w:type="dxa"/>
            <w:vAlign w:val="bottom"/>
            <w:vMerge w:val="continue"/>
          </w:tcPr>
          <w:p>
            <w:pPr>
              <w:spacing w:after="0"/>
              <w:rPr>
                <w:sz w:val="11"/>
                <w:szCs w:val="11"/>
                <w:color w:val="auto"/>
              </w:rPr>
            </w:pPr>
          </w:p>
        </w:tc>
        <w:tc>
          <w:tcPr>
            <w:tcW w:w="70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rPr>
              <w:t>10/23/2029</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$81.06 to $81.995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3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per share. The shares sold at prices ranging from $82.10 to $82.18 per share. Full information regarding the number of shares sold at each price shall be provided upon request to the staff of the U.S. Securities and Exchange Commission, the Issuer, or a security holder of the Issuer.</w:t>
      </w:r>
    </w:p>
    <w:p>
      <w:pPr>
        <w:spacing w:after="0" w:line="17" w:lineRule="exact"/>
        <w:rPr>
          <w:rFonts w:ascii="Times New Roman" w:cs="Times New Roman" w:eastAsia="Times New Roman" w:hAnsi="Times New Roman"/>
          <w:sz w:val="13"/>
          <w:szCs w:val="13"/>
          <w:color w:val="008000"/>
        </w:rPr>
      </w:pPr>
    </w:p>
    <w:p>
      <w:pPr>
        <w:ind w:left="40" w:right="4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October 24, 2020, and 1/48th of the shares subject to the option vest on each monthly anniversary thereafter, subject to the Reporting Person's continuous service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Judy Yan, as Attorney-in-</w:t>
            </w:r>
          </w:p>
        </w:tc>
        <w:tc>
          <w:tcPr>
            <w:tcW w:w="2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06/17/2026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Paula Green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3672"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2026-06-17T15:11:35Z</dcterms:created>
  <dcterms:modified xsi:type="dcterms:W3CDTF">2026-06-17T15:11:35Z</dcterms:modified>
</cp:coreProperties>
</file>