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Pursuant to Section 13 or 15(d)</w:t>
      </w:r>
    </w:p>
    <w:p>
      <w:pPr>
        <w:jc w:val="center"/>
        <w:ind w:right="-2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500"/>
        <w:spacing w:after="0"/>
        <w:rPr>
          <w:sz w:val="20"/>
          <w:szCs w:val="20"/>
          <w:color w:val="auto"/>
        </w:rPr>
      </w:pPr>
      <w:r>
        <w:rPr>
          <w:rFonts w:ascii="Arial" w:cs="Arial" w:eastAsia="Arial" w:hAnsi="Arial"/>
          <w:sz w:val="19"/>
          <w:szCs w:val="19"/>
          <w:b w:val="1"/>
          <w:bCs w:val="1"/>
          <w:color w:val="auto"/>
        </w:rPr>
        <w:t>Date of Report (Date of earliest event reported) December 7,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264795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center"/>
        <w:ind w:right="-239"/>
        <w:spacing w:after="0"/>
        <w:rPr>
          <w:sz w:val="20"/>
          <w:szCs w:val="20"/>
          <w:color w:val="auto"/>
        </w:rPr>
      </w:pPr>
      <w:r>
        <w:rPr>
          <w:rFonts w:ascii="Arial" w:cs="Arial" w:eastAsia="Arial" w:hAnsi="Arial"/>
          <w:sz w:val="43"/>
          <w:szCs w:val="43"/>
          <w:b w:val="1"/>
          <w:bCs w:val="1"/>
          <w:color w:val="auto"/>
        </w:rPr>
        <w:t>Twist Bioscience Corporation</w:t>
      </w:r>
    </w:p>
    <w:p>
      <w:pPr>
        <w:spacing w:after="0" w:line="50"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0780"/>
          </w:cols>
          <w:pgMar w:left="440" w:top="341" w:right="6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40"/>
        <w:spacing w:after="0"/>
        <w:rPr>
          <w:sz w:val="20"/>
          <w:szCs w:val="20"/>
          <w:color w:val="auto"/>
        </w:rPr>
      </w:pPr>
      <w:r>
        <w:rPr>
          <w:rFonts w:ascii="Arial" w:cs="Arial" w:eastAsia="Arial" w:hAnsi="Arial"/>
          <w:sz w:val="16"/>
          <w:szCs w:val="16"/>
          <w:b w:val="1"/>
          <w:bCs w:val="1"/>
          <w:color w:val="auto"/>
        </w:rPr>
        <w:t>001-38720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46-205888</w:t>
      </w:r>
    </w:p>
    <w:p>
      <w:pPr>
        <w:spacing w:after="0" w:line="43" w:lineRule="exact"/>
        <w:rPr>
          <w:sz w:val="24"/>
          <w:szCs w:val="24"/>
          <w:color w:val="auto"/>
        </w:rPr>
      </w:pPr>
    </w:p>
    <w:p>
      <w:pPr>
        <w:sectPr>
          <w:pgSz w:w="11900" w:h="16838" w:orient="portrait"/>
          <w:cols w:equalWidth="0" w:num="3">
            <w:col w:w="4520" w:space="720"/>
            <w:col w:w="2920" w:space="720"/>
            <w:col w:w="1900"/>
          </w:cols>
          <w:pgMar w:left="440" w:top="341" w:right="679" w:bottom="1440" w:gutter="0" w:footer="0" w:header="0"/>
          <w:type w:val="continuous"/>
        </w:sect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 R. 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760" w:space="720"/>
            <w:col w:w="2080"/>
          </w:cols>
          <w:pgMar w:left="440" w:top="341" w:right="679" w:bottom="1440" w:gutter="0" w:footer="0" w:header="0"/>
          <w:type w:val="continuous"/>
        </w:sectPr>
      </w:pPr>
    </w:p>
    <w:p>
      <w:pPr>
        <w:spacing w:after="0" w:line="6"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455 Mission Bay Boulevard South</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Suite 545</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San Francisco, CA 94158</w:t>
      </w:r>
    </w:p>
    <w:p>
      <w:pPr>
        <w:spacing w:after="0" w:line="2" w:lineRule="exact"/>
        <w:rPr>
          <w:sz w:val="24"/>
          <w:szCs w:val="24"/>
          <w:color w:val="auto"/>
        </w:rPr>
      </w:pPr>
    </w:p>
    <w:p>
      <w:pPr>
        <w:jc w:val="center"/>
        <w:ind w:right="-259"/>
        <w:spacing w:after="0"/>
        <w:rPr>
          <w:sz w:val="20"/>
          <w:szCs w:val="20"/>
          <w:color w:val="auto"/>
        </w:rPr>
      </w:pPr>
      <w:r>
        <w:rPr>
          <w:rFonts w:ascii="Arial" w:cs="Arial" w:eastAsia="Arial" w:hAnsi="Arial"/>
          <w:sz w:val="13"/>
          <w:szCs w:val="13"/>
          <w:b w:val="1"/>
          <w:bCs w:val="1"/>
          <w:color w:val="auto"/>
        </w:rPr>
        <w:t>(Address of principal executive offices, including ZIP code)</w:t>
      </w:r>
    </w:p>
    <w:p>
      <w:pPr>
        <w:spacing w:after="0" w:line="204"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(800) 719-0671</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233680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0780"/>
          </w:cols>
          <w:pgMar w:left="440" w:top="341" w:right="679" w:bottom="1440" w:gutter="0" w:footer="0" w:header="0"/>
          <w:type w:val="continuous"/>
        </w:sectPr>
      </w:pPr>
    </w:p>
    <w:p>
      <w:pPr>
        <w:spacing w:after="0" w:line="200" w:lineRule="exact"/>
        <w:rPr>
          <w:sz w:val="24"/>
          <w:szCs w:val="24"/>
          <w:color w:val="auto"/>
        </w:rPr>
      </w:pPr>
    </w:p>
    <w:p>
      <w:pPr>
        <w:spacing w:after="0" w:line="384"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780"/>
          </w:cols>
          <w:pgMar w:left="440" w:top="341" w:right="679" w:bottom="1440" w:gutter="0" w:footer="0" w:header="0"/>
          <w:type w:val="continuous"/>
        </w:sectPr>
      </w:pPr>
    </w:p>
    <w:bookmarkStart w:id="1" w:name="page2"/>
    <w:bookmarkEnd w:id="1"/>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Litigation Update</w:t>
      </w:r>
    </w:p>
    <w:p>
      <w:pPr>
        <w:spacing w:after="0" w:line="11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As previously disclosed, Twist Bioscience Corporation (the “Company”) is party to a lawsuit filed on February 3, 2016, against the Company and its Chief Executive Officer, Ms. Emily Leproust, in the Superior Court of California, Santa Clara County (the “Court”) by Agilent Technologies, Inc. (“Agilent”).</w:t>
      </w:r>
    </w:p>
    <w:p>
      <w:pPr>
        <w:spacing w:after="0" w:line="18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On August 22, 2018, Agilent filed a motion for leave to amend its complaint, including to add two individuals as defendants, Dr. Siyuan Chen, a current Twist employee and Ms. Solange Glaize, Twist’s former Chief Financial Officer. On September 12, 2018, Agilent filed a supplemental declaration in support of its motion to amend, which attached a new, proposed Second Amended Complaint that revised certain allegations. On September 28, 2018, Agilent filed a motion for protective order seeking to impose limits on the defendants’ discovery in the case. The defendants opposed both motions.</w:t>
      </w:r>
    </w:p>
    <w:p>
      <w:pPr>
        <w:spacing w:after="0" w:line="15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December 7, 2018, the Court granted Agilent’s motion to amend its complaint, permitting Agilent to file its Second Amended Complaint. This new complaint adds amended allegations against the Company and Ms. Leproust, and also new claims for breach of contract and trade secret misappropriation against Dr. Chen and Ms. Glaize. However, the Court denied Agilent’s motion for a protective order, and did not set any limits on discovery.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Also, on December 7, 2018, the Court held a case management conference, and set trial to start on February 24, 2020.</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and Ms. Leproust continue to believe that they have substantial and meritorious defenses to Agilent’s claims and intend to vigorously defend their position, including through the trial and appellate stages, if necessary. The outcome of any litigation, however, is inherently uncertain and there can be no assurance that the outcome of the case or the costs of litigation, regardless of outcome, will not have a material adverse effect on the Company’s business.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posted a statement regarding the litigation update on the investor relations section of its website. A copy of the statement is furnished herewith as Exhibit 99.1 and is incorporated into this Item 7.01 by reference. The Company intends to use the investor relations section of its website as a means of complying with its disclosure obligations under Regulation FD. Accordingly, investors should monitor the Company’s website in addition to its press releases, SEC filings, and investor conference calls and webcasts.</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By furnishing this Current Report on Form 8-K, the Company makes no admission as to the materiality of any information in this Current Report on Form 8-K.</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information furnished in this Item 7.01, including Exhibit 99.1, is being furnished and shall not be deemed to be “filed” for the purposes of Section 18 of the Securities Exchange Act of 1934, as amended, or otherwise subject to the liabilities of that section, nor shall it be deemed to be incorporated by reference into any registration statement or other document filed pursuant to the Securities Act of 1933, as amended, except as shall be expressly set forth by specific reference in such filing.</w:t>
      </w:r>
    </w:p>
    <w:p>
      <w:pPr>
        <w:sectPr>
          <w:pgSz w:w="11900" w:h="16838" w:orient="portrait"/>
          <w:cols w:equalWidth="0" w:num="1">
            <w:col w:w="10960"/>
          </w:cols>
          <w:pgMar w:left="440" w:top="270" w:right="499" w:bottom="1440" w:gutter="0" w:footer="0" w:header="0"/>
        </w:sectPr>
      </w:pPr>
    </w:p>
    <w:bookmarkStart w:id="2" w:name="page3"/>
    <w:bookmarkEnd w:id="2"/>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0"/>
        <w:spacing w:after="0"/>
        <w:tabs>
          <w:tab w:leader="none" w:pos="9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101" w:lineRule="exact"/>
        <w:rPr>
          <w:sz w:val="20"/>
          <w:szCs w:val="20"/>
          <w:color w:val="auto"/>
        </w:rPr>
      </w:pPr>
    </w:p>
    <w:p>
      <w:pPr>
        <w:spacing w:after="0"/>
        <w:tabs>
          <w:tab w:leader="none" w:pos="9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EE"/>
          </w:rPr>
          <w:t>Company Statement</w:t>
        </w:r>
      </w:hyperlink>
    </w:p>
    <w:p>
      <w:pPr>
        <w:sectPr>
          <w:pgSz w:w="11900" w:h="16838" w:orient="portrait"/>
          <w:cols w:equalWidth="0" w:num="1">
            <w:col w:w="10019"/>
          </w:cols>
          <w:pgMar w:left="440" w:top="270" w:right="1440" w:bottom="1440" w:gutter="0" w:footer="0" w:header="0"/>
        </w:sectPr>
      </w:pPr>
    </w:p>
    <w:bookmarkStart w:id="3" w:name="page4"/>
    <w:bookmarkEnd w:id="3"/>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Date: December 10, 2018</w:t>
      </w:r>
      <w:r>
        <w:rPr>
          <w:sz w:val="20"/>
          <w:szCs w:val="20"/>
          <w:color w:val="auto"/>
        </w:rPr>
        <w:tab/>
      </w:r>
      <w:r>
        <w:rPr>
          <w:rFonts w:ascii="Arial" w:cs="Arial" w:eastAsia="Arial" w:hAnsi="Arial"/>
          <w:sz w:val="16"/>
          <w:szCs w:val="16"/>
          <w:color w:val="auto"/>
        </w:rPr>
        <w:t>Twist Bioscience Corporation</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Mark Daniels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14605</wp:posOffset>
            </wp:positionV>
            <wp:extent cx="32156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Mark Daniels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Senior Vice President, Chief Legal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Ethics and Compliance Officer, and Secretary</w:t>
      </w:r>
    </w:p>
    <w:p>
      <w:pPr>
        <w:sectPr>
          <w:pgSz w:w="11900" w:h="16838" w:orient="portrait"/>
          <w:cols w:equalWidth="0" w:num="1">
            <w:col w:w="10720"/>
          </w:cols>
          <w:pgMar w:left="440" w:top="270" w:right="739" w:bottom="1440" w:gutter="0" w:footer="0" w:header="0"/>
        </w:sectPr>
      </w:pPr>
    </w:p>
    <w:bookmarkStart w:id="4" w:name="page5"/>
    <w:bookmarkEnd w:id="4"/>
    <w:p>
      <w:pPr>
        <w:ind w:left="10100"/>
        <w:spacing w:after="0"/>
        <w:rPr>
          <w:sz w:val="20"/>
          <w:szCs w:val="20"/>
          <w:color w:val="auto"/>
        </w:rPr>
      </w:pPr>
      <w:r>
        <w:rPr>
          <w:rFonts w:ascii="Arial" w:cs="Arial" w:eastAsia="Arial" w:hAnsi="Arial"/>
          <w:sz w:val="16"/>
          <w:szCs w:val="16"/>
          <w:b w:val="1"/>
          <w:bCs w:val="1"/>
          <w:color w:val="auto"/>
        </w:rPr>
        <w:t>Exhibit 99.1</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Friday, December 7, 2018, Twist and Agilent attended a case management hearing before Judge Walsh in Santa Clara Superior Court. At the hearing, the Court set a trial date of February 24, 2020 and appointed a discovery referee.</w:t>
      </w:r>
    </w:p>
    <w:p>
      <w:pPr>
        <w:spacing w:after="0" w:line="170"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The Court also ruled on two motions filed by Agilent that had been pending for several weeks. First, the Court denied Agilent’s motion for a protective order, which sought to limit the discovery Twist and Dr. Leproust could seek in the case. The Court agreed with Twist and Dr. Leproust that discovery should not be subject to any imposed limits at this time, thus rejecting Agilent’s attempt to restrict the search for truth about its false and inflammatory claims and allegations.</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Second, as anticipated, the Court granted Agilent’s motion for leave to amend its complaint. In so ruling, the Court did not address the merits of any of the new allegations or claims that Agilent seeks to add to the case. This outcome came as no surprise given California’s liberal policy in favor of permitting amendments to pleadings.</w:t>
      </w:r>
    </w:p>
    <w:p>
      <w:pPr>
        <w:spacing w:after="0" w:line="181"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bottom line is that, aside from the case now having a schedule, Agilent has nothing to show for three years of litigation. Twist continues to believe that Agilent’s claims lack merit and that Agilent is not entitled to any relief. Twist also fully intends to continue to mount a vigorous legal defense to those claims, as it has for almost three years now. Twist is pleased that the case finally has a trial date, and is looking forward to its day in court.</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2019-12-28T17:16:03Z</dcterms:created>
  <dcterms:modified xsi:type="dcterms:W3CDTF">2019-12-28T17:16:03Z</dcterms:modified>
</cp:coreProperties>
</file>