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745.xml.htm"/>
      <w:bookmarkStart w:id="1" w:name="ksmarketforms737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CHESS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TWIST BIOSCIENCE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 GATEWAY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Twist Bioscience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18,417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11.89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39,501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18,417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110.89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21,084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42,528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Chess 1997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11.89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18,417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09/13/2028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18,417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on this Form 4 were effected pursuant to a Rule 10b5-1 trading plan previously adopted by the Reporting Person on May 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and his spouse are the sole trustees and the sole beneficiaries of the Chess 1997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is immediately exercisable. 10% of the shares subject to the option vested on September 13, 2018, 15% of the shares subject to the option vested on March 24, 2019, and 1/48th of the shares subject to the option vested on each monthly anniversary thereafter, subject to the Reporting Person's continuous service through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Kendra Fox, as Attorney-in-Fact for Robert Chess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27886" TargetMode="External"/><Relationship Id="rId5" Type="http://schemas.openxmlformats.org/officeDocument/2006/relationships/hyperlink" Target="http://www.sec.gov/cgi-bin/browse-edgar?action=getcompany&amp;CIK=00015812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709</Words>
  <Characters>3792</Characters>
  <CharactersWithSpaces>4407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