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Green Paula</w:t>
              </w:r>
            </w:hyperlink>
          </w:p>
        </w:tc>
        <w:tc>
          <w:tcPr>
            <w:tcW w:w="8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Twist Bioscience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0" w:type="dxa"/>
            <w:vAlign w:val="bottom"/>
            <w:tcBorders>
              <w:top w:val="single" w:sz="8" w:color="0000EE"/>
            </w:tcBorders>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6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TWIST BIOSCIENCE CORPORATION</w:t>
            </w:r>
          </w:p>
        </w:tc>
        <w:tc>
          <w:tcPr>
            <w:tcW w:w="20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06/22/2026</w:t>
            </w: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681 GATEWAY BLVD.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665"/>
        <w:spacing w:after="0"/>
        <w:rPr>
          <w:sz w:val="20"/>
          <w:szCs w:val="20"/>
          <w:color w:val="auto"/>
        </w:rPr>
      </w:pPr>
      <w:r>
        <w:rPr>
          <w:rFonts w:ascii="Times New Roman" w:cs="Times New Roman" w:eastAsia="Times New Roman" w:hAnsi="Times New Roman"/>
          <w:sz w:val="17"/>
          <w:szCs w:val="17"/>
          <w:color w:val="0000FF"/>
        </w:rPr>
        <w:t>SVP of Human Resources</w:t>
      </w:r>
    </w:p>
    <w:p>
      <w:pPr>
        <w:spacing w:after="0" w:line="56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06/22/2026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291</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87.3224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120,414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by the Reporting Person to cover tax withholding obligations in connection with the vesting of Restricted Stock Units. These sales are mandated by the Issuer's election under its equity incentive plans to require the satisfaction of a tax withholding obligation to be funded by a "sell to cover" transaction and do not represent discretionary trades by the Reporting Person.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Judy Yan, as Attorney-in-</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06/24/2026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Paula Green</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3672" TargetMode="External"/><Relationship Id="rId14" Type="http://schemas.openxmlformats.org/officeDocument/2006/relationships/hyperlink" Target="http://www.sec.gov/cgi-bin/browse-edgar?action=getcompany&amp;CIK=00015812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2026-06-24T15:18:15Z</dcterms:created>
  <dcterms:modified xsi:type="dcterms:W3CDTF">2026-06-24T15:18:15Z</dcterms:modified>
</cp:coreProperties>
</file>