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44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446645"/>
                    </a:xfrm>
                    <a:prstGeom prst="rect">
                      <a:avLst/>
                    </a:prstGeom>
                    <a:noFill/>
                  </pic:spPr>
                </pic:pic>
              </a:graphicData>
            </a:graphic>
          </wp:anchor>
        </w:drawing>
      </w:r>
    </w:p>
    <w:p>
      <w:pPr>
        <w:spacing w:after="0" w:line="1256" w:lineRule="exact"/>
        <w:rPr>
          <w:sz w:val="24"/>
          <w:szCs w:val="24"/>
          <w:color w:val="auto"/>
        </w:rPr>
      </w:pPr>
    </w:p>
    <w:p>
      <w:pPr>
        <w:sectPr>
          <w:pgSz w:w="11900" w:h="16844"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Leproust Emily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47" w:lineRule="auto"/>
        <w:rPr>
          <w:sz w:val="20"/>
          <w:szCs w:val="20"/>
          <w:color w:val="auto"/>
        </w:rPr>
      </w:pPr>
      <w:r>
        <w:rPr>
          <w:rFonts w:ascii="Times New Roman" w:cs="Times New Roman" w:eastAsia="Times New Roman" w:hAnsi="Times New Roman"/>
          <w:sz w:val="17"/>
          <w:szCs w:val="17"/>
          <w:color w:val="0000FF"/>
        </w:rPr>
        <w:t>C/O TWIST BIOSCIENCE CORPORATION 681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Twist Bioscience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48" w:lineRule="exact"/>
        <w:rPr>
          <w:sz w:val="24"/>
          <w:szCs w:val="24"/>
          <w:color w:val="auto"/>
        </w:rPr>
      </w:pPr>
    </w:p>
    <w:p>
      <w:pPr>
        <w:sectPr>
          <w:pgSz w:w="11900" w:h="16844" w:orient="portrait"/>
          <w:cols w:equalWidth="0" w:num="3">
            <w:col w:w="3220" w:space="680"/>
            <w:col w:w="3106" w:space="720"/>
            <w:col w:w="3354"/>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6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8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80" w:type="dxa"/>
            <w:vAlign w:val="bottom"/>
          </w:tcPr>
          <w:p>
            <w:pPr>
              <w:ind w:left="4520"/>
              <w:spacing w:after="0" w:line="143" w:lineRule="exact"/>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36"/>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80" w:type="dxa"/>
            <w:vAlign w:val="bottom"/>
          </w:tcPr>
          <w:p>
            <w:pPr>
              <w:ind w:left="4520"/>
              <w:spacing w:after="0" w:line="110"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302"/>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5"/>
              </w:rPr>
              <w:t>2,265</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69.8442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844,607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09/28/2025</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8.82</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09/28/2027</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99"/>
              <w:spacing w:after="0" w:line="143" w:lineRule="exact"/>
              <w:rPr>
                <w:sz w:val="20"/>
                <w:szCs w:val="20"/>
                <w:color w:val="auto"/>
              </w:rPr>
            </w:pPr>
            <w:r>
              <w:rPr>
                <w:rFonts w:ascii="Times New Roman" w:cs="Times New Roman" w:eastAsia="Times New Roman" w:hAnsi="Times New Roman"/>
                <w:sz w:val="13"/>
                <w:szCs w:val="13"/>
                <w:color w:val="0000FF"/>
              </w:rPr>
              <w:t>75,439</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26.66</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11/18/2028</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266,539</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23.33</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10/23/2029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131,290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64,950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64,950</w:t>
            </w:r>
            <w:r>
              <w:rPr>
                <w:rFonts w:ascii="Times New Roman" w:cs="Times New Roman" w:eastAsia="Times New Roman" w:hAnsi="Times New Roman"/>
                <w:sz w:val="21"/>
                <w:szCs w:val="21"/>
                <w:color w:val="008000"/>
                <w:w w:val="92"/>
                <w:vertAlign w:val="superscript"/>
              </w:rPr>
              <w:t>(6)</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67.85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3"/>
                <w:szCs w:val="13"/>
                <w:color w:val="0000FF"/>
              </w:rPr>
              <w:t>12/19/2022</w:t>
            </w:r>
          </w:p>
        </w:tc>
        <w:tc>
          <w:tcPr>
            <w:tcW w:w="7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08/31/2030</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right"/>
              <w:ind w:right="157"/>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vested on October 24, 2020, and 1/48th of the shares subject to the option vest on each monthly anniversary thereafter, subject to the Reporting Person's continuous</w:t>
      </w:r>
    </w:p>
    <w:p>
      <w:pPr>
        <w:sectPr>
          <w:pgSz w:w="11900" w:h="1684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service through each vesting date.</w:t>
      </w:r>
    </w:p>
    <w:p>
      <w:pPr>
        <w:spacing w:after="0" w:line="46" w:lineRule="exact"/>
        <w:rPr>
          <w:sz w:val="20"/>
          <w:szCs w:val="20"/>
          <w:color w:val="auto"/>
        </w:rPr>
      </w:pPr>
    </w:p>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options granted to the reporting person on September 1, 2020, that vested and became exercisable on December 19, 2022 as a result of the reporting person having met the applicable performance criteria.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5" w:lineRule="auto"/>
        <w:rPr>
          <w:sz w:val="20"/>
          <w:szCs w:val="20"/>
          <w:color w:val="auto"/>
        </w:rPr>
      </w:pPr>
      <w:r>
        <w:rPr>
          <w:rFonts w:ascii="Times New Roman" w:cs="Times New Roman" w:eastAsia="Times New Roman" w:hAnsi="Times New Roman"/>
          <w:sz w:val="17"/>
          <w:szCs w:val="17"/>
          <w:color w:val="0000FF"/>
        </w:rPr>
        <w:t xml:space="preserve">/s/ Kendra Fox, as Attorney-in- </w:t>
      </w:r>
      <w:r>
        <w:rPr>
          <w:rFonts w:ascii="Times New Roman" w:cs="Times New Roman" w:eastAsia="Times New Roman" w:hAnsi="Times New Roman"/>
          <w:sz w:val="33"/>
          <w:szCs w:val="33"/>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Emily M.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183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12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3655"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2026-06-10T15:10:20Z</dcterms:created>
  <dcterms:modified xsi:type="dcterms:W3CDTF">2026-06-10T15:10:20Z</dcterms:modified>
</cp:coreProperties>
</file>