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4097.xml.htm"/>
      <w:bookmarkStart w:id="1" w:name="ksmarketforms740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Laponis Adam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TWIST BIOSCIENCE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681 GATEWAY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Twist Bioscience Corp</w:t>
              </w:r>
            </w:hyperlink>
            <w:r>
              <w:rPr/>
              <w:t xml:space="preserve"> [ </w:t>
            </w:r>
            <w:r>
              <w:rPr>
                <w:rFonts w:ascii="Times;serif" w:hAnsi="Times;serif"/>
                <w:color w:val="0000FF"/>
                <w:sz w:val="24"/>
                <w:shd w:fill="FFFFFF" w:val="clear"/>
              </w:rPr>
              <w:t>TWST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878"/>
        <w:gridCol w:w="446"/>
        <w:gridCol w:w="922"/>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8,057</w:t>
            </w:r>
            <w:r>
              <w:rPr>
                <w:rFonts w:ascii="Times;serif" w:hAnsi="Times;serif"/>
                <w:color w:val="008000"/>
                <w:position w:val="7"/>
                <w:sz w:val="16"/>
                <w:sz w:val="20"/>
                <w:shd w:fill="FFFFFF" w:val="clear"/>
              </w:rPr>
              <w:t>(1)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188.884</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100,576</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by the Reporting Person to cover tax withholding obligations in connection with the vesting of Restricted Stock Units. These sales are mandated by the Issuer's election under its equity incentive plans to require the satisfaction of a tax withholding obligation to be funded by a "sell to cover" transaction and do not represent discretionary trades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Kendra Fox, as Attorney-in-Fact for Adam Laponis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7198" TargetMode="External"/><Relationship Id="rId5" Type="http://schemas.openxmlformats.org/officeDocument/2006/relationships/hyperlink" Target="http://www.sec.gov/cgi-bin/browse-edgar?action=getcompany&amp;CIK=0001581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641</Words>
  <Characters>3490</Characters>
  <CharactersWithSpaces>4062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