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0001590947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WERNER ROBERT F.</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854</w:t>
            </w:r>
          </w:p>
        </w:tc>
        <w:tc>
          <w:tcPr>
            <w:tcW w:w="1377" w:type="dxa"/>
            <w:tcBorders/>
            <w:vAlign w:val="center"/>
          </w:tcPr>
          <w:p>
            <w:pPr>
              <w:pStyle w:val="TableContents"/>
              <w:bidi w:val="0"/>
              <w:spacing w:before="0" w:after="283"/>
              <w:jc w:val="left"/>
              <w:rPr/>
            </w:pPr>
            <w:r>
              <w:rPr/>
              <w:t>120219.72</w:t>
            </w:r>
          </w:p>
        </w:tc>
        <w:tc>
          <w:tcPr>
            <w:tcW w:w="1552" w:type="dxa"/>
            <w:tcBorders/>
            <w:vAlign w:val="center"/>
          </w:tcPr>
          <w:p>
            <w:pPr>
              <w:pStyle w:val="TableContents"/>
              <w:bidi w:val="0"/>
              <w:spacing w:before="0" w:after="283"/>
              <w:jc w:val="left"/>
              <w:rPr/>
            </w:pPr>
            <w:r>
              <w:rPr/>
              <w:t>62707424</w:t>
            </w:r>
          </w:p>
        </w:tc>
        <w:tc>
          <w:tcPr>
            <w:tcW w:w="1567" w:type="dxa"/>
            <w:tcBorders/>
            <w:vAlign w:val="center"/>
          </w:tcPr>
          <w:p>
            <w:pPr>
              <w:pStyle w:val="TableContents"/>
              <w:bidi w:val="0"/>
              <w:spacing w:before="0" w:after="283"/>
              <w:jc w:val="left"/>
              <w:rPr/>
            </w:pPr>
            <w:r>
              <w:rPr/>
              <w:t>08/24/2026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854</w:t>
            </w:r>
          </w:p>
        </w:tc>
        <w:tc>
          <w:tcPr>
            <w:tcW w:w="1046" w:type="dxa"/>
            <w:tcBorders/>
            <w:vAlign w:val="center"/>
          </w:tcPr>
          <w:p>
            <w:pPr>
              <w:pStyle w:val="TableContents"/>
              <w:bidi w:val="0"/>
              <w:spacing w:before="0" w:after="283"/>
              <w:jc w:val="left"/>
              <w:rPr/>
            </w:pPr>
            <w:r>
              <w:rPr/>
              <w:t>08/21/2026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9"/>
        <w:gridCol w:w="3000"/>
        <w:gridCol w:w="956"/>
        <w:gridCol w:w="1576"/>
        <w:gridCol w:w="1704"/>
      </w:tblGrid>
      <w:tr>
        <w:trPr/>
        <w:tc>
          <w:tcPr>
            <w:tcW w:w="2969" w:type="dxa"/>
            <w:tcBorders/>
            <w:vAlign w:val="center"/>
          </w:tcPr>
          <w:p>
            <w:pPr>
              <w:pStyle w:val="TableHeading"/>
              <w:suppressLineNumbers/>
              <w:bidi w:val="0"/>
              <w:spacing w:before="0" w:after="283"/>
              <w:jc w:val="center"/>
              <w:rPr/>
            </w:pPr>
            <w:r>
              <w:rPr/>
              <w:t>Name and Address of Seller</w:t>
            </w:r>
          </w:p>
        </w:tc>
        <w:tc>
          <w:tcPr>
            <w:tcW w:w="3000" w:type="dxa"/>
            <w:tcBorders/>
            <w:vAlign w:val="center"/>
          </w:tcPr>
          <w:p>
            <w:pPr>
              <w:pStyle w:val="TableHeading"/>
              <w:suppressLineNumbers/>
              <w:bidi w:val="0"/>
              <w:spacing w:before="0" w:after="283"/>
              <w:jc w:val="center"/>
              <w:rPr/>
            </w:pPr>
            <w:r>
              <w:rPr/>
              <w:t>Title of Securities Sold</w:t>
            </w:r>
          </w:p>
        </w:tc>
        <w:tc>
          <w:tcPr>
            <w:tcW w:w="956" w:type="dxa"/>
            <w:tcBorders/>
            <w:vAlign w:val="center"/>
          </w:tcPr>
          <w:p>
            <w:pPr>
              <w:pStyle w:val="TableHeading"/>
              <w:suppressLineNumbers/>
              <w:bidi w:val="0"/>
              <w:spacing w:before="0" w:after="283"/>
              <w:jc w:val="center"/>
              <w:rPr/>
            </w:pPr>
            <w:r>
              <w:rPr/>
              <w:t>Date of Sale</w:t>
            </w:r>
          </w:p>
        </w:tc>
        <w:tc>
          <w:tcPr>
            <w:tcW w:w="1576" w:type="dxa"/>
            <w:tcBorders/>
            <w:vAlign w:val="center"/>
          </w:tcPr>
          <w:p>
            <w:pPr>
              <w:pStyle w:val="TableHeading"/>
              <w:suppressLineNumbers/>
              <w:bidi w:val="0"/>
              <w:spacing w:before="0" w:after="283"/>
              <w:jc w:val="center"/>
              <w:rPr/>
            </w:pPr>
            <w:r>
              <w:rPr/>
              <w:t>Amount of Securities Sold</w:t>
            </w:r>
          </w:p>
        </w:tc>
        <w:tc>
          <w:tcPr>
            <w:tcW w:w="1704" w:type="dxa"/>
            <w:tcBorders/>
            <w:vAlign w:val="center"/>
          </w:tcPr>
          <w:p>
            <w:pPr>
              <w:pStyle w:val="TableHeading"/>
              <w:suppressLineNumbers/>
              <w:bidi w:val="0"/>
              <w:spacing w:before="0" w:after="283"/>
              <w:jc w:val="center"/>
              <w:rPr/>
            </w:pPr>
            <w:r>
              <w:rPr/>
              <w:t>Gross Proceeds</w:t>
            </w:r>
          </w:p>
        </w:tc>
      </w:tr>
      <w:tr>
        <w:trPr/>
        <w:tc>
          <w:tcPr>
            <w:tcW w:w="2969" w:type="dxa"/>
            <w:tcBorders/>
            <w:vAlign w:val="center"/>
          </w:tcPr>
          <w:p>
            <w:pPr>
              <w:pStyle w:val="TableContents"/>
              <w:bidi w:val="0"/>
              <w:spacing w:before="0" w:after="283"/>
              <w:jc w:val="left"/>
              <w:rPr/>
            </w:pPr>
            <w:r>
              <w:rPr/>
              <w:t>Robert F. Werner</w:t>
              <w:br/>
              <w:t>681 Gateway Blvd</w:t>
              <w:br/>
              <w:t>South San Francisco   CA   94080</w:t>
            </w:r>
          </w:p>
        </w:tc>
        <w:tc>
          <w:tcPr>
            <w:tcW w:w="3000" w:type="dxa"/>
            <w:tcBorders/>
            <w:vAlign w:val="center"/>
          </w:tcPr>
          <w:p>
            <w:pPr>
              <w:pStyle w:val="TableContents"/>
              <w:bidi w:val="0"/>
              <w:spacing w:before="0" w:after="283"/>
              <w:jc w:val="left"/>
              <w:rPr/>
            </w:pPr>
            <w:r>
              <w:rPr/>
              <w:t>Common</w:t>
            </w:r>
          </w:p>
        </w:tc>
        <w:tc>
          <w:tcPr>
            <w:tcW w:w="956" w:type="dxa"/>
            <w:tcBorders/>
            <w:vAlign w:val="center"/>
          </w:tcPr>
          <w:p>
            <w:pPr>
              <w:pStyle w:val="TableContents"/>
              <w:bidi w:val="0"/>
              <w:spacing w:before="0" w:after="283"/>
              <w:jc w:val="left"/>
              <w:rPr/>
            </w:pPr>
            <w:r>
              <w:rPr/>
              <w:t>05/26/2026</w:t>
            </w:r>
          </w:p>
        </w:tc>
        <w:tc>
          <w:tcPr>
            <w:tcW w:w="1576" w:type="dxa"/>
            <w:tcBorders/>
            <w:vAlign w:val="center"/>
          </w:tcPr>
          <w:p>
            <w:pPr>
              <w:pStyle w:val="TableContents"/>
              <w:bidi w:val="0"/>
              <w:spacing w:before="0" w:after="283"/>
              <w:jc w:val="left"/>
              <w:rPr/>
            </w:pPr>
            <w:r>
              <w:rPr/>
              <w:t>800</w:t>
            </w:r>
          </w:p>
        </w:tc>
        <w:tc>
          <w:tcPr>
            <w:tcW w:w="1704" w:type="dxa"/>
            <w:tcBorders/>
            <w:vAlign w:val="center"/>
          </w:tcPr>
          <w:p>
            <w:pPr>
              <w:pStyle w:val="TableContents"/>
              <w:bidi w:val="0"/>
              <w:spacing w:before="0" w:after="283"/>
              <w:jc w:val="left"/>
              <w:rPr/>
            </w:pPr>
            <w:r>
              <w:rPr/>
              <w:t>49987.20</w:t>
            </w:r>
          </w:p>
        </w:tc>
      </w:tr>
      <w:tr>
        <w:trPr/>
        <w:tc>
          <w:tcPr>
            <w:tcW w:w="2969" w:type="dxa"/>
            <w:tcBorders/>
            <w:vAlign w:val="center"/>
          </w:tcPr>
          <w:p>
            <w:pPr>
              <w:pStyle w:val="TableContents"/>
              <w:bidi w:val="0"/>
              <w:spacing w:before="0" w:after="283"/>
              <w:jc w:val="left"/>
              <w:rPr/>
            </w:pPr>
            <w:r>
              <w:rPr/>
              <w:t>Robert F. Werner</w:t>
              <w:br/>
              <w:t>681 Gateway Blvd</w:t>
              <w:br/>
              <w:t>South San Francisco   CA   94080</w:t>
            </w:r>
          </w:p>
        </w:tc>
        <w:tc>
          <w:tcPr>
            <w:tcW w:w="3000" w:type="dxa"/>
            <w:tcBorders/>
            <w:vAlign w:val="center"/>
          </w:tcPr>
          <w:p>
            <w:pPr>
              <w:pStyle w:val="TableContents"/>
              <w:bidi w:val="0"/>
              <w:spacing w:before="0" w:after="283"/>
              <w:jc w:val="left"/>
              <w:rPr/>
            </w:pPr>
            <w:r>
              <w:rPr/>
              <w:t>Common</w:t>
            </w:r>
          </w:p>
        </w:tc>
        <w:tc>
          <w:tcPr>
            <w:tcW w:w="956" w:type="dxa"/>
            <w:tcBorders/>
            <w:vAlign w:val="center"/>
          </w:tcPr>
          <w:p>
            <w:pPr>
              <w:pStyle w:val="TableContents"/>
              <w:bidi w:val="0"/>
              <w:spacing w:before="0" w:after="283"/>
              <w:jc w:val="left"/>
              <w:rPr/>
            </w:pPr>
            <w:r>
              <w:rPr/>
              <w:t>06/08/2026</w:t>
            </w:r>
          </w:p>
        </w:tc>
        <w:tc>
          <w:tcPr>
            <w:tcW w:w="1576" w:type="dxa"/>
            <w:tcBorders/>
            <w:vAlign w:val="center"/>
          </w:tcPr>
          <w:p>
            <w:pPr>
              <w:pStyle w:val="TableContents"/>
              <w:bidi w:val="0"/>
              <w:spacing w:before="0" w:after="283"/>
              <w:jc w:val="left"/>
              <w:rPr/>
            </w:pPr>
            <w:r>
              <w:rPr/>
              <w:t>1359</w:t>
            </w:r>
          </w:p>
        </w:tc>
        <w:tc>
          <w:tcPr>
            <w:tcW w:w="1704" w:type="dxa"/>
            <w:tcBorders/>
            <w:vAlign w:val="center"/>
          </w:tcPr>
          <w:p>
            <w:pPr>
              <w:pStyle w:val="TableContents"/>
              <w:bidi w:val="0"/>
              <w:spacing w:before="0" w:after="283"/>
              <w:jc w:val="left"/>
              <w:rPr/>
            </w:pPr>
            <w:r>
              <w:rPr/>
              <w:t>94045.74</w:t>
            </w:r>
          </w:p>
        </w:tc>
      </w:tr>
      <w:tr>
        <w:trPr/>
        <w:tc>
          <w:tcPr>
            <w:tcW w:w="2969" w:type="dxa"/>
            <w:tcBorders/>
            <w:vAlign w:val="center"/>
          </w:tcPr>
          <w:p>
            <w:pPr>
              <w:pStyle w:val="TableContents"/>
              <w:bidi w:val="0"/>
              <w:spacing w:before="0" w:after="283"/>
              <w:jc w:val="left"/>
              <w:rPr/>
            </w:pPr>
            <w:r>
              <w:rPr/>
              <w:t>Robert F. Werner</w:t>
              <w:br/>
              <w:t>681 Gateway Blvd</w:t>
              <w:br/>
              <w:t>South San Francisco   CA   94080</w:t>
            </w:r>
          </w:p>
        </w:tc>
        <w:tc>
          <w:tcPr>
            <w:tcW w:w="3000" w:type="dxa"/>
            <w:tcBorders/>
            <w:vAlign w:val="center"/>
          </w:tcPr>
          <w:p>
            <w:pPr>
              <w:pStyle w:val="TableContents"/>
              <w:bidi w:val="0"/>
              <w:spacing w:before="0" w:after="283"/>
              <w:jc w:val="left"/>
              <w:rPr/>
            </w:pPr>
            <w:r>
              <w:rPr/>
              <w:t>Common</w:t>
            </w:r>
          </w:p>
        </w:tc>
        <w:tc>
          <w:tcPr>
            <w:tcW w:w="956" w:type="dxa"/>
            <w:tcBorders/>
            <w:vAlign w:val="center"/>
          </w:tcPr>
          <w:p>
            <w:pPr>
              <w:pStyle w:val="TableContents"/>
              <w:bidi w:val="0"/>
              <w:spacing w:before="0" w:after="283"/>
              <w:jc w:val="left"/>
              <w:rPr/>
            </w:pPr>
            <w:r>
              <w:rPr/>
              <w:t>08/03/2026</w:t>
            </w:r>
          </w:p>
        </w:tc>
        <w:tc>
          <w:tcPr>
            <w:tcW w:w="1576" w:type="dxa"/>
            <w:tcBorders/>
            <w:vAlign w:val="center"/>
          </w:tcPr>
          <w:p>
            <w:pPr>
              <w:pStyle w:val="TableContents"/>
              <w:bidi w:val="0"/>
              <w:spacing w:before="0" w:after="283"/>
              <w:jc w:val="left"/>
              <w:rPr/>
            </w:pPr>
            <w:r>
              <w:rPr/>
              <w:t>167</w:t>
            </w:r>
          </w:p>
        </w:tc>
        <w:tc>
          <w:tcPr>
            <w:tcW w:w="1704" w:type="dxa"/>
            <w:tcBorders/>
            <w:vAlign w:val="center"/>
          </w:tcPr>
          <w:p>
            <w:pPr>
              <w:pStyle w:val="TableContents"/>
              <w:bidi w:val="0"/>
              <w:spacing w:before="0" w:after="283"/>
              <w:jc w:val="left"/>
              <w:rPr/>
            </w:pPr>
            <w:r>
              <w:rPr/>
              <w:t>14248.64</w:t>
            </w:r>
          </w:p>
        </w:tc>
      </w:tr>
      <w:tr>
        <w:trPr/>
        <w:tc>
          <w:tcPr>
            <w:tcW w:w="2969" w:type="dxa"/>
            <w:tcBorders/>
            <w:vAlign w:val="center"/>
          </w:tcPr>
          <w:p>
            <w:pPr>
              <w:pStyle w:val="TableContents"/>
              <w:bidi w:val="0"/>
              <w:spacing w:before="0" w:after="283"/>
              <w:jc w:val="left"/>
              <w:rPr/>
            </w:pPr>
            <w:r>
              <w:rPr/>
              <w:t>Robert F. Werner</w:t>
              <w:br/>
              <w:t>681 Gateway Blvd</w:t>
              <w:br/>
              <w:t>South San Francisco   CA   94080</w:t>
            </w:r>
          </w:p>
        </w:tc>
        <w:tc>
          <w:tcPr>
            <w:tcW w:w="3000" w:type="dxa"/>
            <w:tcBorders/>
            <w:vAlign w:val="center"/>
          </w:tcPr>
          <w:p>
            <w:pPr>
              <w:pStyle w:val="TableContents"/>
              <w:bidi w:val="0"/>
              <w:spacing w:before="0" w:after="283"/>
              <w:jc w:val="left"/>
              <w:rPr/>
            </w:pPr>
            <w:r>
              <w:rPr/>
              <w:t>Common</w:t>
            </w:r>
          </w:p>
        </w:tc>
        <w:tc>
          <w:tcPr>
            <w:tcW w:w="956" w:type="dxa"/>
            <w:tcBorders/>
            <w:vAlign w:val="center"/>
          </w:tcPr>
          <w:p>
            <w:pPr>
              <w:pStyle w:val="TableContents"/>
              <w:bidi w:val="0"/>
              <w:spacing w:before="0" w:after="283"/>
              <w:jc w:val="left"/>
              <w:rPr/>
            </w:pPr>
            <w:r>
              <w:rPr/>
              <w:t>08/21/2026</w:t>
            </w:r>
          </w:p>
        </w:tc>
        <w:tc>
          <w:tcPr>
            <w:tcW w:w="1576" w:type="dxa"/>
            <w:tcBorders/>
            <w:vAlign w:val="center"/>
          </w:tcPr>
          <w:p>
            <w:pPr>
              <w:pStyle w:val="TableContents"/>
              <w:bidi w:val="0"/>
              <w:spacing w:before="0" w:after="283"/>
              <w:jc w:val="left"/>
              <w:rPr/>
            </w:pPr>
            <w:r>
              <w:rPr/>
              <w:t>669</w:t>
            </w:r>
          </w:p>
        </w:tc>
        <w:tc>
          <w:tcPr>
            <w:tcW w:w="1704" w:type="dxa"/>
            <w:tcBorders/>
            <w:vAlign w:val="center"/>
          </w:tcPr>
          <w:p>
            <w:pPr>
              <w:pStyle w:val="TableContents"/>
              <w:bidi w:val="0"/>
              <w:spacing w:before="0" w:after="283"/>
              <w:jc w:val="left"/>
              <w:rPr/>
            </w:pPr>
            <w:r>
              <w:rPr/>
              <w:t>93035.42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6"/>
        <w:gridCol w:w="8469"/>
      </w:tblGrid>
      <w:tr>
        <w:trPr/>
        <w:tc>
          <w:tcPr>
            <w:tcW w:w="1736" w:type="dxa"/>
            <w:tcBorders/>
            <w:vAlign w:val="center"/>
          </w:tcPr>
          <w:p>
            <w:pPr>
              <w:pStyle w:val="TableContents"/>
              <w:bidi w:val="0"/>
              <w:spacing w:before="0" w:after="283"/>
              <w:jc w:val="left"/>
              <w:rPr/>
            </w:pPr>
            <w:r>
              <w:rPr/>
              <w:t>Remarks</w:t>
            </w:r>
          </w:p>
        </w:tc>
        <w:tc>
          <w:tcPr>
            <w:tcW w:w="8469"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36" w:type="dxa"/>
            <w:tcBorders/>
            <w:vAlign w:val="center"/>
          </w:tcPr>
          <w:p>
            <w:pPr>
              <w:pStyle w:val="TableContents"/>
              <w:bidi w:val="0"/>
              <w:spacing w:before="0" w:after="283"/>
              <w:jc w:val="left"/>
              <w:rPr/>
            </w:pPr>
            <w:r>
              <w:rPr/>
              <w:t>Date of Notice</w:t>
            </w:r>
          </w:p>
        </w:tc>
        <w:tc>
          <w:tcPr>
            <w:tcW w:w="8469"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6" w:type="dxa"/>
            <w:tcBorders/>
            <w:vAlign w:val="center"/>
          </w:tcPr>
          <w:p>
            <w:pPr>
              <w:pStyle w:val="TableContents"/>
              <w:bidi w:val="0"/>
              <w:spacing w:before="0" w:after="283"/>
              <w:jc w:val="left"/>
              <w:rPr/>
            </w:pPr>
            <w:r>
              <w:rPr/>
              <w:t>Signature</w:t>
            </w:r>
          </w:p>
        </w:tc>
        <w:tc>
          <w:tcPr>
            <w:tcW w:w="8469" w:type="dxa"/>
            <w:tcBorders/>
            <w:vAlign w:val="center"/>
          </w:tcPr>
          <w:p>
            <w:pPr>
              <w:pStyle w:val="TableContents"/>
              <w:bidi w:val="0"/>
              <w:spacing w:before="0" w:after="0"/>
              <w:jc w:val="left"/>
              <w:rPr/>
            </w:pPr>
            <w:r>
              <w:rPr/>
              <w:t>/s/ Jennifer Ruchti, as a duly authorized representative of Fidelity Brokerage Services LLC, as attorney-in-fact for Robert F. Werner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3489</Characters>
  <CharactersWithSpaces>4108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