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880.xml.htm"/>
      <w:bookmarkStart w:id="1" w:name="ksmarketforms738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Leproust Emily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6,639</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139.066</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812,299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26.66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133,269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64,950</w:t>
            </w:r>
            <w:r>
              <w:rPr>
                <w:rFonts w:ascii="Times;serif" w:hAnsi="Times;serif"/>
                <w:color w:val="008000"/>
                <w:position w:val="7"/>
                <w:sz w:val="16"/>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is immediately exercisable. 25% of the shares subject to the option vested on September 1, 2016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immediately exercisable. 10% of the shares subject to the option vested on September 28, 2017, 15% of the shares subject to the option vested on September 28, 2018,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20% of the shares subject to the option vested and became exercisable on October 31, 2019 and 1/60th of the shares subject to the option vest and become exercisable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shares subject to the option vested on October 24, 2020,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performance stock options granted to the reporting person on September 1, 2020, that vested and became exercisable on December 19, 2022 as a result of the reporting person having met the applicable performance criteria.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Emily M. Leproust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55"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5030</Characters>
  <CharactersWithSpaces>5854</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