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973.xml.htm"/>
      <w:bookmarkStart w:id="1" w:name="ksmarketforms7397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WERNER ROBERT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TWIST BIOSCIENCE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681 GATEWAY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Twist Bioscience Corp</w:t>
              </w:r>
            </w:hyperlink>
            <w:r>
              <w:rPr/>
              <w:t xml:space="preserve"> [ </w:t>
            </w:r>
            <w:r>
              <w:rPr>
                <w:rFonts w:ascii="Times;serif" w:hAnsi="Times;serif"/>
                <w:color w:val="0000FF"/>
                <w:sz w:val="24"/>
                <w:shd w:fill="FFFFFF" w:val="clear"/>
              </w:rPr>
              <w:t>TWST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798"/>
        <w:gridCol w:w="451"/>
        <w:gridCol w:w="923"/>
        <w:gridCol w:w="1156"/>
        <w:gridCol w:w="993"/>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238</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122.624</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44,399</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by the Reporting Person to cover tax withholding obligations in connection with the vesting of Restricted Stock Units. These sales are mandated by the Issuer's election under its equity incentive plans to require the satisfaction of a tax withholding obligation to be funded by a "sell to cover" transaction and do not represent discretionary trades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Kendra Fox, as Attorney-in-Fact for Robert F. Werner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0947" TargetMode="External"/><Relationship Id="rId5" Type="http://schemas.openxmlformats.org/officeDocument/2006/relationships/hyperlink" Target="http://www.sec.gov/cgi-bin/browse-edgar?action=getcompany&amp;CIK=0001581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643</Words>
  <Characters>3494</Characters>
  <CharactersWithSpaces>4068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